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120"/>
      </w:pPr>
      <w:r>
        <w:rPr>
          <w:rFonts w:ascii="Calibri" w:cs="Calibri" w:eastAsia="Calibri" w:hAnsi="Calibri"/>
        </w:rPr>
        <w:t xml:space="preserve">Pflichtenheft</w:t>
      </w:r>
    </w:p>
    <w:p>
      <w:pPr>
        <w:spacing w:after="200"/>
      </w:pPr>
      <w:r>
        <w:rPr>
          <w:rFonts w:ascii="Calibri" w:cs="Calibri" w:eastAsia="Calibri" w:hAnsi="Calibri"/>
          <w:sz w:val="28"/>
          <w:szCs w:val="28"/>
        </w:rPr>
        <w:t xml:space="preserve">[Einführung einer Projekt- und Abrechnungssoftware]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Auftraggeber</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[Bauer KG, Ingenieurbüro, Fulda]</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Auftragnehmer</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[Weber IT GmbH, Kassel]</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Bezug</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[Lastenheft Version 1.0 vom 16.03.2026]</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Version und Stand</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[1.1 vom 08.05.2026]</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Verantwortlich</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[Jana Weber, Projektleitung]</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Status</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[Zur Freigabe durch den Auftraggeber]</w:t>
            </w:r>
          </w:p>
        </w:tc>
      </w:tr>
    </w:tbl>
    <w:p>
      <w:pPr>
        <w:spacing w:after="160"/>
      </w:pPr>
    </w:p>
    <w:p>
      <w:pPr>
        <w:spacing w:after="140"/>
      </w:pPr>
      <w:r>
        <w:rPr>
          <w:rFonts w:ascii="Calibri" w:cs="Calibri" w:eastAsia="Calibri" w:hAnsi="Calibri"/>
          <w:i/>
          <w:iCs/>
          <w:color w:val="4B5563"/>
          <w:sz w:val="19"/>
          <w:szCs w:val="19"/>
        </w:rPr>
        <w:t xml:space="preserve">So nutzen Sie diese Vorlage: Das Pflichtenheft schreibt der Auftragnehmer. Es beantwortet zu jeder Anforderung aus dem Lastenheft, wie und womit sie umgesetzt wird. Kursive Hinweise erklären, was in ein Kapitel gehört, und werden vor dem Versand gelöscht. Graue Texte in eckigen Klammern setzen das Beispiel aus der Lastenheft-Vorlage fort: Die Weber IT GmbH führt bei der Bauer KG eine Projekt- und Abrechnungssoftware ein. Die Überschriften nutzen die Formatvorlagen „Überschrift 1“ bis „Überschrift 3“, ein Inhaltsverzeichnis fügen Sie über Referenzen &gt; Inhaltsverzeichnis ein.</w:t>
      </w:r>
    </w:p>
    <w:p>
      <w:pPr>
        <w:pStyle w:val="Heading3"/>
        <w:keepNext/>
        <w:spacing w:after="80" w:before="200"/>
      </w:pPr>
      <w:r>
        <w:rPr>
          <w:rFonts w:ascii="Calibri" w:cs="Calibri" w:eastAsia="Calibri" w:hAnsi="Calibri"/>
        </w:rPr>
        <w:t xml:space="preserve">Änderungen an diesem Dokument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1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Version</w:t>
            </w:r>
          </w:p>
        </w:tc>
        <w:tc>
          <w:tcPr>
            <w:tcW w:type="pct" w:w="16%"/>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Datum</w:t>
            </w:r>
          </w:p>
        </w:tc>
        <w:tc>
          <w:tcPr>
            <w:tcW w:type="pct" w:w="5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Änderung</w:t>
            </w:r>
          </w:p>
        </w:tc>
        <w:tc>
          <w:tcPr>
            <w:tcW w:type="pct" w:w="2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Bearbeitet von</w:t>
            </w:r>
          </w:p>
        </w:tc>
      </w:tr>
      <w:tr>
        <w:trPr>
          <w:cantSplit/>
          <w:tblHeader w:val="false"/>
        </w:trPr>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[1.0]</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[24.04.2026]</w:t>
            </w:r>
          </w:p>
        </w:tc>
        <w:tc>
          <w:tcPr>
            <w:tcW w:type="pct" w:w="5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[Erste Fassung zum Angebot]</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[J. Weber]</w:t>
            </w:r>
          </w:p>
        </w:tc>
      </w:tr>
      <w:tr>
        <w:trPr>
          <w:cantSplit/>
          <w:tblHeader w:val="false"/>
        </w:trPr>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[1.1]</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[08.05.2026]</w:t>
            </w:r>
          </w:p>
        </w:tc>
        <w:tc>
          <w:tcPr>
            <w:tcW w:type="pct" w:w="5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[PRJ-02 und AB-01 nach Workshop präzisiert]</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[T. Krämer]</w:t>
            </w:r>
          </w:p>
        </w:tc>
      </w:tr>
      <w:tr>
        <w:trPr>
          <w:cantSplit/>
          <w:tblHeader w:val="false"/>
        </w:trPr>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5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1  Einleitung und Bezug zum Lastenheft</w:t>
      </w:r>
    </w:p>
    <w:p>
      <w:pPr>
        <w:spacing w:after="140"/>
      </w:pPr>
      <w:r>
        <w:rPr>
          <w:rFonts w:ascii="Calibri" w:cs="Calibri" w:eastAsia="Calibri" w:hAnsi="Calibri"/>
          <w:i/>
          <w:iCs/>
          <w:color w:val="4B5563"/>
          <w:sz w:val="19"/>
          <w:szCs w:val="19"/>
        </w:rPr>
        <w:t xml:space="preserve">Auf welches Lastenheft (Version, Datum) bezieht sich dieses Pflichtenheft? Gibt es Abweichungen, stehen sie hier gesammelt, damit der Auftraggeber sie nicht im Detail suchen muss.</w:t>
      </w:r>
    </w:p>
    <w:p>
      <w:pPr>
        <w:spacing w:after="120"/>
      </w:pPr>
      <w:r>
        <w:rPr>
          <w:rFonts w:ascii="Calibri" w:cs="Calibri" w:eastAsia="Calibri" w:hAnsi="Calibri"/>
          <w:sz w:val="22"/>
          <w:szCs w:val="22"/>
        </w:rPr>
        <w:t xml:space="preserve">[Dieses Pflichtenheft beschreibt die Umsetzung des Lastenhefts der Bauer KG, Version 1.0 vom 16.03.2026. Die IDs der Anforderungen werden unverändert übernommen.]</w:t>
      </w:r>
    </w:p>
    <w:p>
      <w:pPr>
        <w:pStyle w:val="Heading3"/>
        <w:keepNext/>
        <w:spacing w:after="80" w:before="200"/>
      </w:pPr>
      <w:r>
        <w:rPr>
          <w:rFonts w:ascii="Calibri" w:cs="Calibri" w:eastAsia="Calibri" w:hAnsi="Calibri"/>
        </w:rPr>
        <w:t xml:space="preserve">1.1  Abweichungen vom Lastenheft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14%"/>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LH-ID</w:t>
            </w:r>
          </w:p>
        </w:tc>
        <w:tc>
          <w:tcPr>
            <w:tcW w:type="pct" w:w="43%"/>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Abweichung</w:t>
            </w:r>
          </w:p>
        </w:tc>
        <w:tc>
          <w:tcPr>
            <w:tcW w:type="pct" w:w="43%"/>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Grund</w:t>
            </w:r>
          </w:p>
        </w:tc>
      </w:tr>
      <w:tr>
        <w:trPr>
          <w:cantSplit/>
          <w:tblHeader w:val="false"/>
        </w:trPr>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[AW-02]</w:t>
            </w:r>
          </w:p>
        </w:tc>
        <w:tc>
          <w:tcPr>
            <w:tcW w:type="pct" w:w="43%"/>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[Nicht Teil des Auftrags]</w:t>
            </w:r>
          </w:p>
        </w:tc>
        <w:tc>
          <w:tcPr>
            <w:tcW w:type="pct" w:w="43%"/>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[Im Lastenheft zurückgestellt]</w:t>
            </w:r>
          </w:p>
        </w:tc>
      </w:tr>
      <w:tr>
        <w:trPr>
          <w:cantSplit/>
          <w:tblHeader w:val="false"/>
        </w:trPr>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[PRJ-02]</w:t>
            </w:r>
          </w:p>
        </w:tc>
        <w:tc>
          <w:tcPr>
            <w:tcW w:type="pct" w:w="43%"/>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[Warnung nur an die Projektleitung]</w:t>
            </w:r>
          </w:p>
        </w:tc>
        <w:tc>
          <w:tcPr>
            <w:tcW w:type="pct" w:w="43%"/>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[Abgestimmt im Workshop am 05.05.2026]</w:t>
            </w:r>
          </w:p>
        </w:tc>
      </w:tr>
      <w:tr>
        <w:trPr>
          <w:cantSplit/>
          <w:tblHeader w:val="false"/>
        </w:trPr>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3%"/>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3%"/>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3"/>
        <w:keepNext/>
        <w:spacing w:after="80" w:before="200"/>
      </w:pPr>
      <w:r>
        <w:rPr>
          <w:rFonts w:ascii="Calibri" w:cs="Calibri" w:eastAsia="Calibri" w:hAnsi="Calibri"/>
        </w:rPr>
        <w:t xml:space="preserve">1.2  Begriffe</w:t>
      </w:r>
    </w:p>
    <w:p>
      <w:pPr>
        <w:pStyle w:val="ListParagraph"/>
        <w:numPr>
          <w:ilvl w:val="0"/>
          <w:numId w:val="2"/>
        </w:numPr>
        <w:spacing w:after="60"/>
      </w:pPr>
      <w:r>
        <w:rPr>
          <w:rFonts w:ascii="Calibri" w:cs="Calibri" w:eastAsia="Calibri" w:hAnsi="Calibri"/>
          <w:color w:val="4B5563"/>
          <w:sz w:val="22"/>
          <w:szCs w:val="22"/>
        </w:rPr>
        <w:t xml:space="preserve">[LPH: Leistungsphase nach HOAI]</w:t>
      </w:r>
    </w:p>
    <w:p>
      <w:pPr>
        <w:pStyle w:val="ListParagraph"/>
        <w:numPr>
          <w:ilvl w:val="0"/>
          <w:numId w:val="2"/>
        </w:numPr>
        <w:spacing w:after="60"/>
      </w:pPr>
      <w:r>
        <w:rPr>
          <w:rFonts w:ascii="Calibri" w:cs="Calibri" w:eastAsia="Calibri" w:hAnsi="Calibri"/>
          <w:color w:val="4B5563"/>
          <w:sz w:val="22"/>
          <w:szCs w:val="22"/>
        </w:rPr>
        <w:t xml:space="preserve">[PT: Personentag, 8 Stunden]</w:t>
      </w:r>
    </w:p>
    <w:p>
      <w:pPr>
        <w:pStyle w:val="ListParagraph"/>
        <w:numPr>
          <w:ilvl w:val="0"/>
          <w:numId w:val="2"/>
        </w:numPr>
        <w:spacing w:after="60"/>
      </w:pPr>
      <w:r>
        <w:rPr>
          <w:rFonts w:ascii="Calibri" w:cs="Calibri" w:eastAsia="Calibri" w:hAnsi="Calibri"/>
          <w:color w:val="4B5563"/>
          <w:sz w:val="22"/>
          <w:szCs w:val="22"/>
        </w:rPr>
        <w:t xml:space="preserve">[Testfall: festgelegte Prüfung, mit der eine Anforderung bei der Abnahme nachgewiesen wird]</w:t>
      </w:r>
    </w:p>
    <w:p>
      <w:pPr>
        <w:pStyle w:val="Heading2"/>
        <w:keepNext/>
        <w:spacing w:after="100" w:before="280"/>
      </w:pPr>
      <w:r>
        <w:rPr>
          <w:rFonts w:ascii="Calibri" w:cs="Calibri" w:eastAsia="Calibri" w:hAnsi="Calibri"/>
        </w:rPr>
        <w:t xml:space="preserve">2  Zielbestimmung</w:t>
      </w:r>
    </w:p>
    <w:p>
      <w:pPr>
        <w:spacing w:after="140"/>
      </w:pPr>
      <w:r>
        <w:rPr>
          <w:rFonts w:ascii="Calibri" w:cs="Calibri" w:eastAsia="Calibri" w:hAnsi="Calibri"/>
          <w:i/>
          <w:iCs/>
          <w:color w:val="4B5563"/>
          <w:sz w:val="19"/>
          <w:szCs w:val="19"/>
        </w:rPr>
        <w:t xml:space="preserve">Was das Ergebnis leisten wird, getrennt nach Muss-, Wunsch- und Abgrenzungskriterien. Die Muss-Kriterien entsprechen den Muss-Anforderungen des Lastenhefts.</w:t>
      </w:r>
    </w:p>
    <w:p>
      <w:pPr>
        <w:pStyle w:val="Heading3"/>
        <w:keepNext/>
        <w:spacing w:after="80" w:before="200"/>
      </w:pPr>
      <w:r>
        <w:rPr>
          <w:rFonts w:ascii="Calibri" w:cs="Calibri" w:eastAsia="Calibri" w:hAnsi="Calibri"/>
        </w:rPr>
        <w:t xml:space="preserve">2.1  Musskriterien</w:t>
      </w:r>
    </w:p>
    <w:p>
      <w:pPr>
        <w:spacing w:after="120"/>
      </w:pPr>
      <w:r>
        <w:rPr>
          <w:rFonts w:ascii="Calibri" w:cs="Calibri" w:eastAsia="Calibri" w:hAnsi="Calibri"/>
          <w:sz w:val="22"/>
          <w:szCs w:val="22"/>
        </w:rPr>
        <w:t xml:space="preserve">[Alle Muss-Anforderungen des Lastenhefts (13 Stück) werden vollständig umgesetzt, siehe Kapitel 5.]</w:t>
      </w:r>
    </w:p>
    <w:p>
      <w:pPr>
        <w:pStyle w:val="Heading3"/>
        <w:keepNext/>
        <w:spacing w:after="80" w:before="200"/>
      </w:pPr>
      <w:r>
        <w:rPr>
          <w:rFonts w:ascii="Calibri" w:cs="Calibri" w:eastAsia="Calibri" w:hAnsi="Calibri"/>
        </w:rPr>
        <w:t xml:space="preserve">2.2  Wunschkriterien</w:t>
      </w:r>
    </w:p>
    <w:p>
      <w:pPr>
        <w:spacing w:after="120"/>
      </w:pPr>
      <w:r>
        <w:rPr>
          <w:rFonts w:ascii="Calibri" w:cs="Calibri" w:eastAsia="Calibri" w:hAnsi="Calibri"/>
          <w:sz w:val="22"/>
          <w:szCs w:val="22"/>
        </w:rPr>
        <w:t xml:space="preserve">[Soll- und Kann-Anforderungen werden umgesetzt, soweit in Kapitel 5 aufgeführt. AW-02 entfällt.]</w:t>
      </w:r>
    </w:p>
    <w:p>
      <w:pPr>
        <w:pStyle w:val="Heading3"/>
        <w:keepNext/>
        <w:spacing w:after="80" w:before="200"/>
      </w:pPr>
      <w:r>
        <w:rPr>
          <w:rFonts w:ascii="Calibri" w:cs="Calibri" w:eastAsia="Calibri" w:hAnsi="Calibri"/>
        </w:rPr>
        <w:t xml:space="preserve">2.3  Abgrenzungskriterien</w:t>
      </w:r>
    </w:p>
    <w:p>
      <w:pPr>
        <w:pStyle w:val="ListParagraph"/>
        <w:numPr>
          <w:ilvl w:val="0"/>
          <w:numId w:val="2"/>
        </w:numPr>
        <w:spacing w:after="60"/>
      </w:pPr>
      <w:r>
        <w:rPr>
          <w:rFonts w:ascii="Calibri" w:cs="Calibri" w:eastAsia="Calibri" w:hAnsi="Calibri"/>
          <w:color w:val="4B5563"/>
          <w:sz w:val="22"/>
          <w:szCs w:val="22"/>
        </w:rPr>
        <w:t xml:space="preserve">[Keine Individualentwicklung.]</w:t>
      </w:r>
    </w:p>
    <w:p>
      <w:pPr>
        <w:pStyle w:val="ListParagraph"/>
        <w:numPr>
          <w:ilvl w:val="0"/>
          <w:numId w:val="2"/>
        </w:numPr>
        <w:spacing w:after="60"/>
      </w:pPr>
      <w:r>
        <w:rPr>
          <w:rFonts w:ascii="Calibri" w:cs="Calibri" w:eastAsia="Calibri" w:hAnsi="Calibri"/>
          <w:color w:val="4B5563"/>
          <w:sz w:val="22"/>
          <w:szCs w:val="22"/>
        </w:rPr>
        <w:t xml:space="preserve">[Keine Bereinigung der Altdaten; die liefert der Auftraggeber.]</w:t>
      </w:r>
    </w:p>
    <w:p>
      <w:pPr>
        <w:pStyle w:val="ListParagraph"/>
        <w:numPr>
          <w:ilvl w:val="0"/>
          <w:numId w:val="2"/>
        </w:numPr>
        <w:spacing w:after="60"/>
      </w:pPr>
      <w:r>
        <w:rPr>
          <w:rFonts w:ascii="Calibri" w:cs="Calibri" w:eastAsia="Calibri" w:hAnsi="Calibri"/>
          <w:color w:val="4B5563"/>
          <w:sz w:val="22"/>
          <w:szCs w:val="22"/>
        </w:rPr>
        <w:t xml:space="preserve">[Keine Anbindung der Lohnabrechnung.]</w:t>
      </w:r>
    </w:p>
    <w:p>
      <w:pPr>
        <w:pStyle w:val="Heading2"/>
        <w:keepNext/>
        <w:spacing w:after="100" w:before="280"/>
      </w:pPr>
      <w:r>
        <w:rPr>
          <w:rFonts w:ascii="Calibri" w:cs="Calibri" w:eastAsia="Calibri" w:hAnsi="Calibri"/>
        </w:rPr>
        <w:t xml:space="preserve">3  Produkteinsatz</w:t>
      </w:r>
    </w:p>
    <w:p>
      <w:pPr>
        <w:spacing w:after="140"/>
      </w:pPr>
      <w:r>
        <w:rPr>
          <w:rFonts w:ascii="Calibri" w:cs="Calibri" w:eastAsia="Calibri" w:hAnsi="Calibri"/>
          <w:i/>
          <w:iCs/>
          <w:color w:val="4B5563"/>
          <w:sz w:val="19"/>
          <w:szCs w:val="19"/>
        </w:rPr>
        <w:t xml:space="preserve">Wer nutzt das Ergebnis, wofür und unter welchen Bedingungen? Das legt fest, wofür das System ausgelegt ist.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28%"/>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Rolle</w:t>
            </w:r>
          </w:p>
        </w:tc>
        <w:tc>
          <w:tcPr>
            <w:tcW w:type="pct" w:w="1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Anzahl</w:t>
            </w:r>
          </w:p>
        </w:tc>
        <w:tc>
          <w:tcPr>
            <w:tcW w:type="pct" w:w="6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Nutzung</w:t>
            </w:r>
          </w:p>
        </w:tc>
      </w:tr>
      <w:tr>
        <w:trPr>
          <w:cantSplit/>
          <w:tblHeader w:val="false"/>
        </w:trPr>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[Geschäftsführung]</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[2]</w:t>
            </w:r>
          </w:p>
        </w:tc>
        <w:tc>
          <w:tcPr>
            <w:tcW w:type="pct" w:w="6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[Auswertungen, Freigabe von Rechnungen]</w:t>
            </w:r>
          </w:p>
        </w:tc>
      </w:tr>
      <w:tr>
        <w:trPr>
          <w:cantSplit/>
          <w:tblHeader w:val="false"/>
        </w:trPr>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[Projektleitung]</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[8]</w:t>
            </w:r>
          </w:p>
        </w:tc>
        <w:tc>
          <w:tcPr>
            <w:tcW w:type="pct" w:w="6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[Projekte, Budgets, Freigabe der Zeiten]</w:t>
            </w:r>
          </w:p>
        </w:tc>
      </w:tr>
      <w:tr>
        <w:trPr>
          <w:cantSplit/>
          <w:tblHeader w:val="false"/>
        </w:trPr>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[Mitarbeitende]</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[21]</w:t>
            </w:r>
          </w:p>
        </w:tc>
        <w:tc>
          <w:tcPr>
            <w:tcW w:type="pct" w:w="6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[Zeiten im Büro und unterwegs buchen]</w:t>
            </w:r>
          </w:p>
        </w:tc>
      </w:tr>
      <w:tr>
        <w:trPr>
          <w:cantSplit/>
          <w:tblHeader w:val="false"/>
        </w:trPr>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[Verwaltung]</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[4]</w:t>
            </w:r>
          </w:p>
        </w:tc>
        <w:tc>
          <w:tcPr>
            <w:tcW w:type="pct" w:w="6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[Rechnungen, Kunden, DATEV-Export]</w:t>
            </w:r>
          </w:p>
        </w:tc>
      </w:tr>
      <w:tr>
        <w:trPr>
          <w:cantSplit/>
          <w:tblHeader w:val="false"/>
        </w:trPr>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6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r>
        <w:rPr>
          <w:rFonts w:ascii="Calibri" w:cs="Calibri" w:eastAsia="Calibri" w:hAnsi="Calibri"/>
          <w:sz w:val="22"/>
          <w:szCs w:val="22"/>
        </w:rPr>
        <w:t xml:space="preserve">[Nutzung im Browser am PC und am Smartphone. Betrieb im Rechenzentrum des Herstellers in Deutschland, keine Installation bei der Bauer KG.]</w:t>
      </w:r>
    </w:p>
    <w:p>
      <w:pPr>
        <w:pStyle w:val="Heading2"/>
        <w:keepNext/>
        <w:spacing w:after="100" w:before="280"/>
      </w:pPr>
      <w:r>
        <w:rPr>
          <w:rFonts w:ascii="Calibri" w:cs="Calibri" w:eastAsia="Calibri" w:hAnsi="Calibri"/>
        </w:rPr>
        <w:t xml:space="preserve">4  Lösungskonzept</w:t>
      </w:r>
    </w:p>
    <w:p>
      <w:pPr>
        <w:spacing w:after="140"/>
      </w:pPr>
      <w:r>
        <w:rPr>
          <w:rFonts w:ascii="Calibri" w:cs="Calibri" w:eastAsia="Calibri" w:hAnsi="Calibri"/>
          <w:i/>
          <w:iCs/>
          <w:color w:val="4B5563"/>
          <w:sz w:val="19"/>
          <w:szCs w:val="19"/>
        </w:rPr>
        <w:t xml:space="preserve">Das Gesamtbild in wenigen Absätzen: welches Produkt oder welche Technik, was im Standard läuft, was eingestellt, was entwickelt wird. Eine einfache Skizze der Systeme und Datenflüsse hilft.</w:t>
      </w:r>
    </w:p>
    <w:p>
      <w:pPr>
        <w:spacing w:after="120"/>
      </w:pPr>
      <w:r>
        <w:rPr>
          <w:rFonts w:ascii="Calibri" w:cs="Calibri" w:eastAsia="Calibri" w:hAnsi="Calibri"/>
          <w:sz w:val="22"/>
          <w:szCs w:val="22"/>
        </w:rPr>
        <w:t xml:space="preserve">[Eingesetzt wird eine Standardsoftware für Projekte, Zeiterfassung, Kunden und Rechnungen. Die Anforderungen werden über Einstellungen, Vorlagen und Rollen umgesetzt. Rechnungen gehen über den DATEV-Export an das Steuerbüro. Kunden und laufende Projekte werden einmalig aus Excel übernommen.]</w:t>
      </w:r>
    </w:p>
    <w:p>
      <w:pPr>
        <w:pStyle w:val="Heading2"/>
        <w:keepNext/>
        <w:spacing w:after="100" w:before="280"/>
      </w:pPr>
      <w:r>
        <w:rPr>
          <w:rFonts w:ascii="Calibri" w:cs="Calibri" w:eastAsia="Calibri" w:hAnsi="Calibri"/>
        </w:rPr>
        <w:t xml:space="preserve">5  Funktionen</w:t>
      </w:r>
    </w:p>
    <w:p>
      <w:pPr>
        <w:spacing w:after="140"/>
      </w:pPr>
      <w:r>
        <w:rPr>
          <w:rFonts w:ascii="Calibri" w:cs="Calibri" w:eastAsia="Calibri" w:hAnsi="Calibri"/>
          <w:i/>
          <w:iCs/>
          <w:color w:val="4B5563"/>
          <w:sz w:val="19"/>
          <w:szCs w:val="19"/>
        </w:rPr>
        <w:t xml:space="preserve">Zu jeder Anforderung aus dem Lastenheft: die Lösung, ihre Art (Standard, Konfiguration, Entwicklung, Datenübernahme, Schulung, Organisation) und der Testfall, mit dem sie geprüft wird. Die Excel-Umsetzungsliste zu dieser Vorlage summiert den Aufwand.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11%"/>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19"/>
                <w:szCs w:val="19"/>
              </w:rPr>
              <w:t xml:space="preserve">LH-ID</w:t>
            </w:r>
          </w:p>
        </w:tc>
        <w:tc>
          <w:tcPr>
            <w:tcW w:type="pct" w:w="57%"/>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19"/>
                <w:szCs w:val="19"/>
              </w:rPr>
              <w:t xml:space="preserve">Umsetzung</w:t>
            </w:r>
          </w:p>
        </w:tc>
        <w:tc>
          <w:tcPr>
            <w:tcW w:type="pct" w:w="18%"/>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19"/>
                <w:szCs w:val="19"/>
              </w:rPr>
              <w:t xml:space="preserve">Art</w:t>
            </w:r>
          </w:p>
        </w:tc>
        <w:tc>
          <w:tcPr>
            <w:tcW w:type="pct" w:w="14%"/>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19"/>
                <w:szCs w:val="19"/>
              </w:rPr>
              <w:t xml:space="preserve">Testfall</w:t>
            </w:r>
          </w:p>
        </w:tc>
      </w:tr>
      <w:tr>
        <w:trPr>
          <w:cantSplit/>
          <w:tblHeader w:val="false"/>
        </w:trPr>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[PRJ-01]</w:t>
            </w:r>
          </w:p>
        </w:tc>
        <w:tc>
          <w:tcPr>
            <w:tcW w:type="pct" w:w="5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[Projektvorlage „HOAI-Projekt“ mit einem Teilprojekt je Leistungsphase]</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[Konfiguration]</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[T-01]</w:t>
            </w:r>
          </w:p>
        </w:tc>
      </w:tr>
      <w:tr>
        <w:trPr>
          <w:cantSplit/>
          <w:tblHeader w:val="false"/>
        </w:trPr>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[PRJ-02]</w:t>
            </w:r>
          </w:p>
        </w:tc>
        <w:tc>
          <w:tcPr>
            <w:tcW w:type="pct" w:w="5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[Budget in Stunden und Euro je Teilprojekt, Warnung an die Projektleitung bei 80 %]</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[Konfiguration]</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[T-02]</w:t>
            </w:r>
          </w:p>
        </w:tc>
      </w:tr>
      <w:tr>
        <w:trPr>
          <w:cantSplit/>
          <w:tblHeader w:val="false"/>
        </w:trPr>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[PRJ-03]</w:t>
            </w:r>
          </w:p>
        </w:tc>
        <w:tc>
          <w:tcPr>
            <w:tcW w:type="pct" w:w="5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[Drei Projektvorlagen: Neubau, Sanierung, Gutachten]</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[Konfiguration]</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[T-03]</w:t>
            </w:r>
          </w:p>
        </w:tc>
      </w:tr>
      <w:tr>
        <w:trPr>
          <w:cantSplit/>
          <w:tblHeader w:val="false"/>
        </w:trPr>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[ZE-01]</w:t>
            </w:r>
          </w:p>
        </w:tc>
        <w:tc>
          <w:tcPr>
            <w:tcW w:type="pct" w:w="5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[Im Standard über den Browser; Buchungsfrist auf 7 Tage einstellen]</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[Standard]</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[T-04]</w:t>
            </w:r>
          </w:p>
        </w:tc>
      </w:tr>
      <w:tr>
        <w:trPr>
          <w:cantSplit/>
          <w:tblHeader w:val="false"/>
        </w:trPr>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[ZE-02]</w:t>
            </w:r>
          </w:p>
        </w:tc>
        <w:tc>
          <w:tcPr>
            <w:tcW w:type="pct" w:w="5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[Arbeitszeiterfassung im Standard, Pausenregeln laut Betriebsvereinbarung]</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[Konfiguration]</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[T-05]</w:t>
            </w:r>
          </w:p>
        </w:tc>
      </w:tr>
      <w:tr>
        <w:trPr>
          <w:cantSplit/>
          <w:tblHeader w:val="false"/>
        </w:trPr>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[ZE-03]</w:t>
            </w:r>
          </w:p>
        </w:tc>
        <w:tc>
          <w:tcPr>
            <w:tcW w:type="pct" w:w="5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[Freigabe je Projekt durch die Projektleitung, Erinnerung zum Monatsende]</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[Konfiguration]</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[T-06]</w:t>
            </w:r>
          </w:p>
        </w:tc>
      </w:tr>
      <w:tr>
        <w:trPr>
          <w:cantSplit/>
          <w:tblHeader w:val="false"/>
        </w:trPr>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[AB-01]</w:t>
            </w:r>
          </w:p>
        </w:tc>
        <w:tc>
          <w:tcPr>
            <w:tcW w:type="pct" w:w="5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[Rechnungsvorlagen für Abschlag und Schluss mit Abzug der Abschläge, im Briefpapier der Bauer KG]</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[Konfiguration]</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[T-07]</w:t>
            </w:r>
          </w:p>
        </w:tc>
      </w:tr>
      <w:tr>
        <w:trPr>
          <w:cantSplit/>
          <w:tblHeader w:val="false"/>
        </w:trPr>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[AB-02]</w:t>
            </w:r>
          </w:p>
        </w:tc>
        <w:tc>
          <w:tcPr>
            <w:tcW w:type="pct" w:w="5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[Drei Stundensatzgruppen: Ingenieur, Techniker, Zeichner]</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[Konfiguration]</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[T-08]</w:t>
            </w:r>
          </w:p>
        </w:tc>
      </w:tr>
      <w:tr>
        <w:trPr>
          <w:cantSplit/>
          <w:tblHeader w:val="false"/>
        </w:trPr>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5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r>
      <w:tr>
        <w:trPr>
          <w:cantSplit/>
          <w:tblHeader w:val="false"/>
        </w:trPr>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5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r>
      <w:tr>
        <w:trPr>
          <w:cantSplit/>
          <w:tblHeader w:val="false"/>
        </w:trPr>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5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r>
      <w:tr>
        <w:trPr>
          <w:cantSplit/>
          <w:tblHeader w:val="false"/>
        </w:trPr>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5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r>
    </w:tbl>
    <w:p>
      <w:pPr>
        <w:pStyle w:val="Heading2"/>
        <w:keepNext/>
        <w:spacing w:after="100" w:before="280"/>
      </w:pPr>
      <w:r>
        <w:rPr>
          <w:rFonts w:ascii="Calibri" w:cs="Calibri" w:eastAsia="Calibri" w:hAnsi="Calibri"/>
        </w:rPr>
        <w:t xml:space="preserve">6  Daten</w:t>
      </w:r>
    </w:p>
    <w:p>
      <w:pPr>
        <w:spacing w:after="140"/>
      </w:pPr>
      <w:r>
        <w:rPr>
          <w:rFonts w:ascii="Calibri" w:cs="Calibri" w:eastAsia="Calibri" w:hAnsi="Calibri"/>
          <w:i/>
          <w:iCs/>
          <w:color w:val="4B5563"/>
          <w:sz w:val="19"/>
          <w:szCs w:val="19"/>
        </w:rPr>
        <w:t xml:space="preserve">Welche Daten verwaltet das System, woher kommen sie, wer übernimmt und prüft sie? Bei einer Datenübernahme: Umfang, Format, Probeläufe und wer die Altdaten bereinigt.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3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Daten</w:t>
            </w:r>
          </w:p>
        </w:tc>
        <w:tc>
          <w:tcPr>
            <w:tcW w:type="pct" w:w="26%"/>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Herkunft</w:t>
            </w:r>
          </w:p>
        </w:tc>
        <w:tc>
          <w:tcPr>
            <w:tcW w:type="pct" w:w="14%"/>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Menge</w:t>
            </w:r>
          </w:p>
        </w:tc>
        <w:tc>
          <w:tcPr>
            <w:tcW w:type="pct" w:w="3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Übernahme</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[Kunden und Ansprechpartner]</w:t>
            </w:r>
          </w:p>
        </w:tc>
        <w:tc>
          <w:tcPr>
            <w:tcW w:type="pct" w:w="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[Excel, Outlook-Export]</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[ca. 400]</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[Import mit Dublettenprüfung]</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[Laufende Projekte mit Budgets]</w:t>
            </w:r>
          </w:p>
        </w:tc>
        <w:tc>
          <w:tcPr>
            <w:tcW w:type="pct" w:w="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[Excel-Projektliste]</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[ca. 120]</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[Importvorlage, zwei Probeläufe]</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[Offene Abschläge]</w:t>
            </w:r>
          </w:p>
        </w:tc>
        <w:tc>
          <w:tcPr>
            <w:tcW w:type="pct" w:w="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[Excel je Projekt]</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[ca. 60]</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[Erfassung durch die Verwaltung]</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7  Leistungen</w:t>
      </w:r>
    </w:p>
    <w:p>
      <w:pPr>
        <w:spacing w:after="140"/>
      </w:pPr>
      <w:r>
        <w:rPr>
          <w:rFonts w:ascii="Calibri" w:cs="Calibri" w:eastAsia="Calibri" w:hAnsi="Calibri"/>
          <w:i/>
          <w:iCs/>
          <w:color w:val="4B5563"/>
          <w:sz w:val="19"/>
          <w:szCs w:val="19"/>
        </w:rPr>
        <w:t xml:space="preserve">Mengen, Antwortzeiten, Verfügbarkeit, Aufbewahrung: was das System leisten muss, mit Zahlen, die sich prüfen lassen.</w:t>
      </w:r>
    </w:p>
    <w:p>
      <w:pPr>
        <w:pStyle w:val="ListParagraph"/>
        <w:numPr>
          <w:ilvl w:val="0"/>
          <w:numId w:val="2"/>
        </w:numPr>
        <w:spacing w:after="60"/>
      </w:pPr>
      <w:r>
        <w:rPr>
          <w:rFonts w:ascii="Calibri" w:cs="Calibri" w:eastAsia="Calibri" w:hAnsi="Calibri"/>
          <w:color w:val="4B5563"/>
          <w:sz w:val="22"/>
          <w:szCs w:val="22"/>
        </w:rPr>
        <w:t xml:space="preserve">[Ausgelegt für 45 Nutzer und 150 laufende Projekte.]</w:t>
      </w:r>
    </w:p>
    <w:p>
      <w:pPr>
        <w:pStyle w:val="ListParagraph"/>
        <w:numPr>
          <w:ilvl w:val="0"/>
          <w:numId w:val="2"/>
        </w:numPr>
        <w:spacing w:after="60"/>
      </w:pPr>
      <w:r>
        <w:rPr>
          <w:rFonts w:ascii="Calibri" w:cs="Calibri" w:eastAsia="Calibri" w:hAnsi="Calibri"/>
          <w:color w:val="4B5563"/>
          <w:sz w:val="22"/>
          <w:szCs w:val="22"/>
        </w:rPr>
        <w:t xml:space="preserve">[Erreichbarkeit des Supports werktags von 8 bis 17 Uhr.]</w:t>
      </w:r>
    </w:p>
    <w:p>
      <w:pPr>
        <w:pStyle w:val="ListParagraph"/>
        <w:numPr>
          <w:ilvl w:val="0"/>
          <w:numId w:val="2"/>
        </w:numPr>
        <w:spacing w:after="60"/>
      </w:pPr>
      <w:r>
        <w:rPr>
          <w:rFonts w:ascii="Calibri" w:cs="Calibri" w:eastAsia="Calibri" w:hAnsi="Calibri"/>
          <w:color w:val="4B5563"/>
          <w:sz w:val="22"/>
          <w:szCs w:val="22"/>
        </w:rPr>
        <w:t xml:space="preserve">[Datensicherung laut Sicherungskonzept des Herstellers (Anlage).]</w:t>
      </w:r>
    </w:p>
    <w:p>
      <w:pPr>
        <w:pStyle w:val="Heading2"/>
        <w:keepNext/>
        <w:spacing w:after="100" w:before="280"/>
      </w:pPr>
      <w:r>
        <w:rPr>
          <w:rFonts w:ascii="Calibri" w:cs="Calibri" w:eastAsia="Calibri" w:hAnsi="Calibri"/>
        </w:rPr>
        <w:t xml:space="preserve">8  Schnittstellen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3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Schnittstelle</w:t>
            </w:r>
          </w:p>
        </w:tc>
        <w:tc>
          <w:tcPr>
            <w:tcW w:type="pct" w:w="2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Richtung</w:t>
            </w:r>
          </w:p>
        </w:tc>
        <w:tc>
          <w:tcPr>
            <w:tcW w:type="pct" w:w="3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Format</w:t>
            </w:r>
          </w:p>
        </w:tc>
        <w:tc>
          <w:tcPr>
            <w:tcW w:type="pct" w:w="2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Verantwortlich</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[DATEV (Steuerbüro)]</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[Ausgang]</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[DATEV-Format, monatlich]</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[L. Brandt]</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[Excel]</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[Ein- und Ausgang]</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[XLSX, CSV]</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[S. Lang]</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9  Qualität</w:t>
      </w:r>
    </w:p>
    <w:p>
      <w:pPr>
        <w:spacing w:after="140"/>
      </w:pPr>
      <w:r>
        <w:rPr>
          <w:rFonts w:ascii="Calibri" w:cs="Calibri" w:eastAsia="Calibri" w:hAnsi="Calibri"/>
          <w:i/>
          <w:iCs/>
          <w:color w:val="4B5563"/>
          <w:sz w:val="19"/>
          <w:szCs w:val="19"/>
        </w:rPr>
        <w:t xml:space="preserve">Welche Qualitätsmerkmale sind wichtig, und wie werden sie geprüft? Zum Beispiel Bedienbarkeit, Richtigkeit von Berechnungen, Datenschutz.</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2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Merkmal</w:t>
            </w:r>
          </w:p>
        </w:tc>
        <w:tc>
          <w:tcPr>
            <w:tcW w:type="pct" w:w="4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Ziel</w:t>
            </w:r>
          </w:p>
        </w:tc>
        <w:tc>
          <w:tcPr>
            <w:tcW w:type="pct" w:w="38%"/>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Prüfung</w:t>
            </w:r>
          </w:p>
        </w:tc>
      </w:tr>
      <w:tr>
        <w:trPr>
          <w:cantSplit/>
          <w:tblHeader w:val="false"/>
        </w:trPr>
        <w:tc>
          <w:tcPr>
            <w:tcW w:type="pct" w:w="2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[Richtigkeit]</w:t>
            </w:r>
          </w:p>
        </w:tc>
        <w:tc>
          <w:tcPr>
            <w:tcW w:type="pct" w:w="4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[Rechnungen stimmen auf den Cent]</w:t>
            </w:r>
          </w:p>
        </w:tc>
        <w:tc>
          <w:tcPr>
            <w:tcW w:type="pct" w:w="3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[Kontrollrechnung für drei Testprojekte]</w:t>
            </w:r>
          </w:p>
        </w:tc>
      </w:tr>
      <w:tr>
        <w:trPr>
          <w:cantSplit/>
          <w:tblHeader w:val="false"/>
        </w:trPr>
        <w:tc>
          <w:tcPr>
            <w:tcW w:type="pct" w:w="2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[Bedienbarkeit]</w:t>
            </w:r>
          </w:p>
        </w:tc>
        <w:tc>
          <w:tcPr>
            <w:tcW w:type="pct" w:w="4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[Zeiterfassung ohne Handbuch möglich]</w:t>
            </w:r>
          </w:p>
        </w:tc>
        <w:tc>
          <w:tcPr>
            <w:tcW w:type="pct" w:w="3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[Drei Testpersonen buchen eine Woche]</w:t>
            </w:r>
          </w:p>
        </w:tc>
      </w:tr>
      <w:tr>
        <w:trPr>
          <w:cantSplit/>
          <w:tblHeader w:val="false"/>
        </w:trPr>
        <w:tc>
          <w:tcPr>
            <w:tcW w:type="pct" w:w="2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[Datenschutz]</w:t>
            </w:r>
          </w:p>
        </w:tc>
        <w:tc>
          <w:tcPr>
            <w:tcW w:type="pct" w:w="4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[Jede Rolle sieht nur ihre Daten]</w:t>
            </w:r>
          </w:p>
        </w:tc>
        <w:tc>
          <w:tcPr>
            <w:tcW w:type="pct" w:w="3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[Testkonto je Rolle]</w:t>
            </w:r>
          </w:p>
        </w:tc>
      </w:tr>
      <w:tr>
        <w:trPr>
          <w:cantSplit/>
          <w:tblHeader w:val="false"/>
        </w:trPr>
        <w:tc>
          <w:tcPr>
            <w:tcW w:type="pct" w:w="2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10  Testfälle und Abnahmekriterien</w:t>
      </w:r>
    </w:p>
    <w:p>
      <w:pPr>
        <w:spacing w:after="140"/>
      </w:pPr>
      <w:r>
        <w:rPr>
          <w:rFonts w:ascii="Calibri" w:cs="Calibri" w:eastAsia="Calibri" w:hAnsi="Calibri"/>
          <w:i/>
          <w:iCs/>
          <w:color w:val="4B5563"/>
          <w:sz w:val="19"/>
          <w:szCs w:val="19"/>
        </w:rPr>
        <w:t xml:space="preserve">Jeder Testfall hat eine Nummer, prüft eine oder mehrere Anforderungen und nennt das erwartete Ergebnis. Bei der Abnahme wird diese Liste abgearbeitet und im Abnahmeprotokoll festgehalten.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9%"/>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Nr.</w:t>
            </w:r>
          </w:p>
        </w:tc>
        <w:tc>
          <w:tcPr>
            <w:tcW w:type="pct" w:w="1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LH-ID</w:t>
            </w:r>
          </w:p>
        </w:tc>
        <w:tc>
          <w:tcPr>
            <w:tcW w:type="pct" w:w="4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Ablauf</w:t>
            </w:r>
          </w:p>
        </w:tc>
        <w:tc>
          <w:tcPr>
            <w:tcW w:type="pct" w:w="37%"/>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Erwartetes Ergebnis</w:t>
            </w:r>
          </w:p>
        </w:tc>
      </w:tr>
      <w:tr>
        <w:trPr>
          <w:cantSplit/>
          <w:tblHeader w:val="false"/>
        </w:trPr>
        <w:tc>
          <w:tcPr>
            <w:tcW w:type="pct" w:w="9%"/>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[T-01]</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[PRJ-01]</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[Projekt aus Vorlage „HOAI-Projekt“ anlegen, Zeiten auf LPH 2 und 3 buchen]</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[Stunden je Leistungsphase in der Auswertung sichtbar]</w:t>
            </w:r>
          </w:p>
        </w:tc>
      </w:tr>
      <w:tr>
        <w:trPr>
          <w:cantSplit/>
          <w:tblHeader w:val="false"/>
        </w:trPr>
        <w:tc>
          <w:tcPr>
            <w:tcW w:type="pct" w:w="9%"/>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[T-07]</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[AB-01]</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[Zwei Abschlagsrechnungen und eine Schlussrechnung erstellen]</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[Schlussrechnung zieht beide Abschläge ab, Summen stimmen mit der Kontrollrechnung]</w:t>
            </w:r>
          </w:p>
        </w:tc>
      </w:tr>
      <w:tr>
        <w:trPr>
          <w:cantSplit/>
          <w:tblHeader w:val="false"/>
        </w:trPr>
        <w:tc>
          <w:tcPr>
            <w:tcW w:type="pct" w:w="9%"/>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[T-10]</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[AB-04]</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[Monatsexport an das Steuerbüro übergeben]</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[Steuerbüro liest den Export ohne Nacharbeit ein]</w:t>
            </w:r>
          </w:p>
        </w:tc>
      </w:tr>
      <w:tr>
        <w:trPr>
          <w:cantSplit/>
          <w:tblHeader w:val="false"/>
        </w:trPr>
        <w:tc>
          <w:tcPr>
            <w:tcW w:type="pct" w:w="9%"/>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r>
        <w:trPr>
          <w:cantSplit/>
          <w:tblHeader w:val="false"/>
        </w:trPr>
        <w:tc>
          <w:tcPr>
            <w:tcW w:type="pct" w:w="9%"/>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r>
        <w:trPr>
          <w:cantSplit/>
          <w:tblHeader w:val="false"/>
        </w:trPr>
        <w:tc>
          <w:tcPr>
            <w:tcW w:type="pct" w:w="9%"/>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11  Projektplan und Aufwand</w:t>
      </w:r>
    </w:p>
    <w:p>
      <w:pPr>
        <w:spacing w:after="140"/>
      </w:pPr>
      <w:r>
        <w:rPr>
          <w:rFonts w:ascii="Calibri" w:cs="Calibri" w:eastAsia="Calibri" w:hAnsi="Calibri"/>
          <w:i/>
          <w:iCs/>
          <w:color w:val="4B5563"/>
          <w:sz w:val="19"/>
          <w:szCs w:val="19"/>
        </w:rPr>
        <w:t xml:space="preserve">Phasen mit Zeitraum, Ergebnis und Aufwand. Nennen Sie auch, was der Auftraggeber beitragen muss, und bis wann.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3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Phase</w:t>
            </w:r>
          </w:p>
        </w:tc>
        <w:tc>
          <w:tcPr>
            <w:tcW w:type="pct" w:w="18%"/>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Zeitraum</w:t>
            </w:r>
          </w:p>
        </w:tc>
        <w:tc>
          <w:tcPr>
            <w:tcW w:type="pct" w:w="36%"/>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Ergebnis</w:t>
            </w:r>
          </w:p>
        </w:tc>
        <w:tc>
          <w:tcPr>
            <w:tcW w:type="pct" w:w="16%"/>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Aufwand (PT)</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[Konzeption und Einrichtung]</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[Juni 2026]</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[Grundeinstellungen, Vorlagen, Rollen]</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[7]</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[Datenübernahme]</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[Juli 2026]</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[Projekte und Kunden übernommen]</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[4,5]</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[Schnittstelle DATEV]</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[Juli 2026]</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[Export vom Steuerbüro geprüft]</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[1]</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[Schulung und Testphase]</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[August 2026]</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[Schulungen, Tests T-01 bis T-16]</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[6]</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[Produktivstart und Abnahme]</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[September 2026]</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[Start 01.09., Abnahme bis 30.09.]</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[4]</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Gesamt</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[22,5]</w:t>
            </w:r>
          </w:p>
        </w:tc>
      </w:tr>
    </w:tbl>
    <w:p>
      <w:pPr>
        <w:pStyle w:val="Heading3"/>
        <w:keepNext/>
        <w:spacing w:after="80" w:before="200"/>
      </w:pPr>
      <w:r>
        <w:rPr>
          <w:rFonts w:ascii="Calibri" w:cs="Calibri" w:eastAsia="Calibri" w:hAnsi="Calibri"/>
        </w:rPr>
        <w:t xml:space="preserve">11.1  Mitwirkung des Auftraggebers</w:t>
      </w:r>
    </w:p>
    <w:p>
      <w:pPr>
        <w:pStyle w:val="ListParagraph"/>
        <w:numPr>
          <w:ilvl w:val="0"/>
          <w:numId w:val="2"/>
        </w:numPr>
        <w:spacing w:after="60"/>
      </w:pPr>
      <w:r>
        <w:rPr>
          <w:rFonts w:ascii="Calibri" w:cs="Calibri" w:eastAsia="Calibri" w:hAnsi="Calibri"/>
          <w:color w:val="4B5563"/>
          <w:sz w:val="22"/>
          <w:szCs w:val="22"/>
        </w:rPr>
        <w:t xml:space="preserve">[Bereinigte Excel-Listen bis 30.06.2026]</w:t>
      </w:r>
    </w:p>
    <w:p>
      <w:pPr>
        <w:pStyle w:val="ListParagraph"/>
        <w:numPr>
          <w:ilvl w:val="0"/>
          <w:numId w:val="2"/>
        </w:numPr>
        <w:spacing w:after="60"/>
      </w:pPr>
      <w:r>
        <w:rPr>
          <w:rFonts w:ascii="Calibri" w:cs="Calibri" w:eastAsia="Calibri" w:hAnsi="Calibri"/>
          <w:color w:val="4B5563"/>
          <w:sz w:val="22"/>
          <w:szCs w:val="22"/>
        </w:rPr>
        <w:t xml:space="preserve">[Zwei Projektleitungen je einen Tag pro Woche für Workshops und Tests]</w:t>
      </w:r>
    </w:p>
    <w:p>
      <w:pPr>
        <w:pStyle w:val="ListParagraph"/>
        <w:numPr>
          <w:ilvl w:val="0"/>
          <w:numId w:val="2"/>
        </w:numPr>
        <w:spacing w:after="60"/>
      </w:pPr>
      <w:r>
        <w:rPr>
          <w:rFonts w:ascii="Calibri" w:cs="Calibri" w:eastAsia="Calibri" w:hAnsi="Calibri"/>
          <w:color w:val="4B5563"/>
          <w:sz w:val="22"/>
          <w:szCs w:val="22"/>
        </w:rPr>
        <w:t xml:space="preserve">[Abstimmung der DATEV-Kontenzuordnung mit dem Steuerbüro]</w:t>
      </w:r>
    </w:p>
    <w:p>
      <w:pPr>
        <w:pStyle w:val="Heading2"/>
        <w:keepNext/>
        <w:spacing w:after="100" w:before="280"/>
      </w:pPr>
      <w:r>
        <w:rPr>
          <w:rFonts w:ascii="Calibri" w:cs="Calibri" w:eastAsia="Calibri" w:hAnsi="Calibri"/>
        </w:rPr>
        <w:t xml:space="preserve">12  Änderungsverfahren</w:t>
      </w:r>
    </w:p>
    <w:p>
      <w:pPr>
        <w:spacing w:after="140"/>
      </w:pPr>
      <w:r>
        <w:rPr>
          <w:rFonts w:ascii="Calibri" w:cs="Calibri" w:eastAsia="Calibri" w:hAnsi="Calibri"/>
          <w:i/>
          <w:iCs/>
          <w:color w:val="4B5563"/>
          <w:sz w:val="19"/>
          <w:szCs w:val="19"/>
        </w:rPr>
        <w:t xml:space="preserve">Was passiert, wenn sich nach der Freigabe etwas ändern soll? Ohne geregeltes Verfahren entstehen Streit über Mehrkosten und verschobene Termine. Jede Änderung bekommt eine Nummer und wird erst nach Freigabe umgesetzt.</w:t>
      </w:r>
    </w:p>
    <w:p>
      <w:pPr>
        <w:pStyle w:val="ListParagraph"/>
        <w:numPr>
          <w:ilvl w:val="0"/>
          <w:numId w:val="3"/>
        </w:numPr>
        <w:spacing w:after="60"/>
      </w:pPr>
      <w:r>
        <w:rPr>
          <w:rFonts w:ascii="Calibri" w:cs="Calibri" w:eastAsia="Calibri" w:hAnsi="Calibri"/>
          <w:color w:val="4B5563"/>
          <w:sz w:val="22"/>
          <w:szCs w:val="22"/>
        </w:rPr>
        <w:t xml:space="preserve">[Der Auftraggeber beschreibt den Änderungswunsch schriftlich (Change Request).]</w:t>
      </w:r>
    </w:p>
    <w:p>
      <w:pPr>
        <w:pStyle w:val="ListParagraph"/>
        <w:numPr>
          <w:ilvl w:val="0"/>
          <w:numId w:val="3"/>
        </w:numPr>
        <w:spacing w:after="60"/>
      </w:pPr>
      <w:r>
        <w:rPr>
          <w:rFonts w:ascii="Calibri" w:cs="Calibri" w:eastAsia="Calibri" w:hAnsi="Calibri"/>
          <w:color w:val="4B5563"/>
          <w:sz w:val="22"/>
          <w:szCs w:val="22"/>
        </w:rPr>
        <w:t xml:space="preserve">[Der Auftragnehmer bewertet ihn innerhalb von fünf Arbeitstagen: Aufwand, Kosten, Auswirkung auf Termine und andere Anforderungen.]</w:t>
      </w:r>
    </w:p>
    <w:p>
      <w:pPr>
        <w:pStyle w:val="ListParagraph"/>
        <w:numPr>
          <w:ilvl w:val="0"/>
          <w:numId w:val="3"/>
        </w:numPr>
        <w:spacing w:after="60"/>
      </w:pPr>
      <w:r>
        <w:rPr>
          <w:rFonts w:ascii="Calibri" w:cs="Calibri" w:eastAsia="Calibri" w:hAnsi="Calibri"/>
          <w:color w:val="4B5563"/>
          <w:sz w:val="22"/>
          <w:szCs w:val="22"/>
        </w:rPr>
        <w:t xml:space="preserve">[Der Auftraggeber gibt die Änderung schriftlich frei oder lehnt sie ab.]</w:t>
      </w:r>
    </w:p>
    <w:p>
      <w:pPr>
        <w:pStyle w:val="ListParagraph"/>
        <w:numPr>
          <w:ilvl w:val="0"/>
          <w:numId w:val="3"/>
        </w:numPr>
        <w:spacing w:after="60"/>
      </w:pPr>
      <w:r>
        <w:rPr>
          <w:rFonts w:ascii="Calibri" w:cs="Calibri" w:eastAsia="Calibri" w:hAnsi="Calibri"/>
          <w:color w:val="4B5563"/>
          <w:sz w:val="22"/>
          <w:szCs w:val="22"/>
        </w:rPr>
        <w:t xml:space="preserve">[Freigegebene Änderungen ergänzen das Pflichtenheft als neue Version.]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11%"/>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CR-Nr.</w:t>
            </w:r>
          </w:p>
        </w:tc>
        <w:tc>
          <w:tcPr>
            <w:tcW w:type="pct" w:w="41%"/>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Änderung</w:t>
            </w:r>
          </w:p>
        </w:tc>
        <w:tc>
          <w:tcPr>
            <w:tcW w:type="pct" w:w="14%"/>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Aufwand (Std.)</w:t>
            </w:r>
          </w:p>
        </w:tc>
        <w:tc>
          <w:tcPr>
            <w:tcW w:type="pct" w:w="16%"/>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Termin</w:t>
            </w:r>
          </w:p>
        </w:tc>
        <w:tc>
          <w:tcPr>
            <w:tcW w:type="pct" w:w="18%"/>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Freigabe</w:t>
            </w:r>
          </w:p>
        </w:tc>
      </w:tr>
      <w:tr>
        <w:trPr>
          <w:cantSplit/>
          <w:tblHeader w:val="false"/>
        </w:trPr>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[CR-01]</w:t>
            </w:r>
          </w:p>
        </w:tc>
        <w:tc>
          <w:tcPr>
            <w:tcW w:type="pct" w:w="4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[Zusätzliche Rechnungsvorlage für Gutachten]</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[4]</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[keine Auswirkung]</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[M. Roth, 02.07.2026]</w:t>
            </w:r>
          </w:p>
        </w:tc>
      </w:tr>
      <w:tr>
        <w:trPr>
          <w:cantSplit/>
          <w:tblHeader w:val="false"/>
        </w:trPr>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r>
        <w:trPr>
          <w:cantSplit/>
          <w:tblHeader w:val="false"/>
        </w:trPr>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13  Annahmen und offene Punkte</w:t>
      </w:r>
    </w:p>
    <w:p>
      <w:pPr>
        <w:spacing w:after="140"/>
      </w:pPr>
      <w:r>
        <w:rPr>
          <w:rFonts w:ascii="Calibri" w:cs="Calibri" w:eastAsia="Calibri" w:hAnsi="Calibri"/>
          <w:i/>
          <w:iCs/>
          <w:color w:val="4B5563"/>
          <w:sz w:val="19"/>
          <w:szCs w:val="19"/>
        </w:rPr>
        <w:t xml:space="preserve">Wovon geht der Auftragnehmer aus? Annahmen, die sich als falsch erweisen, sind ein häufiger Grund für Nachträge. Deshalb gehören sie ausdrücklich ins Pflichtenheft.</w:t>
      </w:r>
    </w:p>
    <w:p>
      <w:pPr>
        <w:pStyle w:val="ListParagraph"/>
        <w:numPr>
          <w:ilvl w:val="0"/>
          <w:numId w:val="2"/>
        </w:numPr>
        <w:spacing w:after="60"/>
      </w:pPr>
      <w:r>
        <w:rPr>
          <w:rFonts w:ascii="Calibri" w:cs="Calibri" w:eastAsia="Calibri" w:hAnsi="Calibri"/>
          <w:color w:val="4B5563"/>
          <w:sz w:val="22"/>
          <w:szCs w:val="22"/>
        </w:rPr>
        <w:t xml:space="preserve">[Die Excel-Listen haben einheitliche Spalten und keine zusammengeführten Zellen.]</w:t>
      </w:r>
    </w:p>
    <w:p>
      <w:pPr>
        <w:pStyle w:val="ListParagraph"/>
        <w:numPr>
          <w:ilvl w:val="0"/>
          <w:numId w:val="2"/>
        </w:numPr>
        <w:spacing w:after="60"/>
      </w:pPr>
      <w:r>
        <w:rPr>
          <w:rFonts w:ascii="Calibri" w:cs="Calibri" w:eastAsia="Calibri" w:hAnsi="Calibri"/>
          <w:color w:val="4B5563"/>
          <w:sz w:val="22"/>
          <w:szCs w:val="22"/>
        </w:rPr>
        <w:t xml:space="preserve">[Das Steuerbüro stellt bis 30.06.2026 einen Ansprechpartner für den DATEV-Export.]</w:t>
      </w:r>
    </w:p>
    <w:p>
      <w:pPr>
        <w:pStyle w:val="Heading2"/>
        <w:keepNext/>
        <w:spacing w:after="100" w:before="280"/>
      </w:pPr>
      <w:r>
        <w:rPr>
          <w:rFonts w:ascii="Calibri" w:cs="Calibri" w:eastAsia="Calibri" w:hAnsi="Calibri"/>
        </w:rPr>
        <w:t xml:space="preserve">14  Freigabe</w:t>
      </w:r>
    </w:p>
    <w:p>
      <w:pPr>
        <w:spacing w:after="140"/>
      </w:pPr>
      <w:r>
        <w:rPr>
          <w:rFonts w:ascii="Calibri" w:cs="Calibri" w:eastAsia="Calibri" w:hAnsi="Calibri"/>
          <w:i/>
          <w:iCs/>
          <w:color w:val="4B5563"/>
          <w:sz w:val="19"/>
          <w:szCs w:val="19"/>
        </w:rPr>
        <w:t xml:space="preserve">Mit beiden Unterschriften wird das Pflichtenheft verbindlich. Es ist dann Grundlage für Umsetzung, Test und Abnahme.</w:t>
      </w:r>
    </w:p>
    <w:p>
      <w:pPr>
        <w:spacing w:before="700"/>
      </w:pPr>
    </w:p>
    <w:tbl>
      <w:tblPr>
        <w:tblW w:type="pct" w:w="100%"/>
        <w:tblBorders>
          <w:top w:val="none"/>
          <w:left w:val="none"/>
          <w:bottom w:val="none"/>
          <w:right w:val="none"/>
          <w:insideH w:val="none"/>
          <w:insideV w:val="none"/>
        </w:tblBorders>
      </w:tblPr>
      <w:tblGrid>
        <w:gridCol w:w="100"/>
        <w:gridCol w:w="100"/>
      </w:tblGrid>
      <w:tr>
        <w:tc>
          <w:tcPr>
            <w:tcBorders>
              <w:top w:val="single" w:color="4B5563" w:sz="6"/>
              <w:left w:val="none"/>
              <w:bottom w:val="none"/>
              <w:right w:val="none"/>
            </w:tcBorders>
            <w:tcMar>
              <w:top w:type="dxa" w:w="60"/>
              <w:left w:type="dxa" w:w="0"/>
              <w:right w:type="dxa" w:w="300"/>
            </w:tcMar>
          </w:tcPr>
          <w:p>
            <w:r>
              <w:rPr>
                <w:rFonts w:ascii="Calibri" w:cs="Calibri" w:eastAsia="Calibri" w:hAnsi="Calibri"/>
                <w:color w:val="4B5563"/>
                <w:sz w:val="18"/>
                <w:szCs w:val="18"/>
              </w:rPr>
              <w:t xml:space="preserve">Ort, Datum, Unterschrift Auftraggeber</w:t>
            </w:r>
          </w:p>
        </w:tc>
        <w:tc>
          <w:tcPr>
            <w:tcBorders>
              <w:top w:val="single" w:color="4B5563" w:sz="6"/>
              <w:left w:val="none"/>
              <w:bottom w:val="none"/>
              <w:right w:val="none"/>
            </w:tcBorders>
            <w:tcMar>
              <w:top w:type="dxa" w:w="60"/>
              <w:left w:type="dxa" w:w="0"/>
              <w:right w:type="dxa" w:w="300"/>
            </w:tcMar>
          </w:tcPr>
          <w:p>
            <w:r>
              <w:rPr>
                <w:rFonts w:ascii="Calibri" w:cs="Calibri" w:eastAsia="Calibri" w:hAnsi="Calibri"/>
                <w:color w:val="4B5563"/>
                <w:sz w:val="18"/>
                <w:szCs w:val="18"/>
              </w:rPr>
              <w:t xml:space="preserve">Ort, Datum, Unterschrift Auftragnehmer</w:t>
            </w:r>
          </w:p>
        </w:tc>
      </w:tr>
    </w:tbl>
    <w:sectPr>
      <w:headerReference w:type="default" r:id="rId7"/>
      <w:footerReference w:type="default" r:id="rId8"/>
      <w:pgSz w:w="11906" w:h="16838" w:orient="portrait"/>
      <w:pgMar w:top="1200" w:right="1134" w:bottom="11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4B5563"/>
        <w:sz w:val="15"/>
        <w:szCs w:val="15"/>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12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rPr>
      <w:rFonts w:ascii="Calibri" w:cs="Calibri" w:eastAsia="Calibri" w:hAnsi="Calibri"/>
      <w:b/>
      <w:bCs/>
      <w:color w:val="0B1220"/>
      <w:sz w:val="40"/>
      <w:szCs w:val="40"/>
    </w:rPr>
  </w:style>
  <w:style w:type="paragraph" w:styleId="Heading2">
    <w:name w:val="Heading 2"/>
    <w:basedOn w:val="Normal"/>
    <w:next w:val="Normal"/>
    <w:rPr>
      <w:rFonts w:ascii="Calibri" w:cs="Calibri" w:eastAsia="Calibri" w:hAnsi="Calibri"/>
      <w:b/>
      <w:bCs/>
      <w:color w:val="1B338B"/>
      <w:sz w:val="28"/>
      <w:szCs w:val="28"/>
    </w:rPr>
  </w:style>
  <w:style w:type="paragraph" w:styleId="Heading3">
    <w:name w:val="Heading 3"/>
    <w:basedOn w:val="Normal"/>
    <w:next w:val="Normal"/>
    <w:rPr>
      <w:rFonts w:ascii="Calibri" w:cs="Calibri" w:eastAsia="Calibri" w:hAnsi="Calibri"/>
      <w:b/>
      <w:bCs/>
      <w:color w:val="0B1220"/>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Pflichtenheft Vorlage</dc:title>
  <dc:subject>Pflichtenheft mit Ausfüllhinweisen und Beispiel</dc:subject>
  <dc:creator>teamspace (5 POINT AG)</dc:creator>
  <dc:description>Kostenlose Vorlage von www.teamspace.de, Stand Oktober 2026.</dc:description>
  <cp:lastModifiedBy>Un-named</cp:lastModifiedBy>
  <cp:revision>1</cp:revision>
  <dcterms:created xsi:type="dcterms:W3CDTF">2026-10-19T11:27:14.625Z</dcterms:created>
  <dcterms:modified xsi:type="dcterms:W3CDTF">2026-10-19T11:27:14.625Z</dcterms:modified>
</cp:coreProperties>
</file>

<file path=docProps/custom.xml><?xml version="1.0" encoding="utf-8"?>
<Properties xmlns="http://schemas.openxmlformats.org/officeDocument/2006/custom-properties" xmlns:vt="http://schemas.openxmlformats.org/officeDocument/2006/docPropsVTypes"/>
</file>